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8E2F5" w14:textId="441B4EC4" w:rsidR="007F6015" w:rsidRPr="00D60A8B" w:rsidRDefault="007F6015" w:rsidP="007F6015">
      <w:pPr>
        <w:pStyle w:val="3GPPHeader"/>
        <w:spacing w:after="0"/>
        <w:rPr>
          <w:rFonts w:ascii="Arial" w:hAnsi="Arial" w:cs="Arial"/>
          <w:sz w:val="22"/>
          <w:lang w:val="en-US"/>
        </w:rPr>
      </w:pPr>
      <w:r>
        <w:rPr>
          <w:rFonts w:ascii="Arial" w:hAnsi="Arial" w:cs="Arial"/>
          <w:sz w:val="22"/>
          <w:lang w:val="en-US"/>
        </w:rPr>
        <w:t>3GPP TSG RAN WG2 #10</w:t>
      </w:r>
      <w:r w:rsidR="00372947">
        <w:rPr>
          <w:rFonts w:ascii="Arial" w:hAnsi="Arial" w:cs="Arial"/>
          <w:sz w:val="22"/>
          <w:lang w:val="en-US"/>
        </w:rPr>
        <w:t>7</w:t>
      </w:r>
      <w:r>
        <w:rPr>
          <w:rFonts w:ascii="Arial" w:hAnsi="Arial" w:cs="Arial"/>
          <w:sz w:val="22"/>
          <w:lang w:val="en-US"/>
        </w:rPr>
        <w:tab/>
      </w:r>
      <w:r w:rsidRPr="00846E52">
        <w:rPr>
          <w:rFonts w:ascii="Arial" w:hAnsi="Arial" w:cs="Arial"/>
          <w:sz w:val="22"/>
          <w:szCs w:val="22"/>
          <w:lang w:val="en-US"/>
        </w:rPr>
        <w:t xml:space="preserve"> </w:t>
      </w:r>
      <w:r w:rsidR="00846E52" w:rsidRPr="00846E52">
        <w:rPr>
          <w:rFonts w:ascii="Arial" w:hAnsi="Arial" w:cs="Arial"/>
          <w:sz w:val="22"/>
          <w:szCs w:val="22"/>
          <w:lang w:val="en-US"/>
        </w:rPr>
        <w:t>R2-1909414</w:t>
      </w:r>
    </w:p>
    <w:p w14:paraId="4B279B55" w14:textId="1BE6BEA4" w:rsidR="007F6015" w:rsidRPr="0050109B" w:rsidRDefault="00372947" w:rsidP="007F6015">
      <w:pPr>
        <w:pStyle w:val="3GPPHeader"/>
        <w:spacing w:after="0"/>
        <w:rPr>
          <w:rFonts w:ascii="Arial" w:hAnsi="Arial" w:cs="Arial"/>
          <w:sz w:val="22"/>
          <w:lang w:val="en-US"/>
        </w:rPr>
      </w:pPr>
      <w:r>
        <w:rPr>
          <w:rFonts w:ascii="Arial" w:hAnsi="Arial" w:cs="Arial"/>
          <w:sz w:val="22"/>
          <w:lang w:val="en-US"/>
        </w:rPr>
        <w:t>Prague</w:t>
      </w:r>
      <w:r w:rsidR="007F6015" w:rsidRPr="00395015">
        <w:rPr>
          <w:rFonts w:ascii="Arial" w:hAnsi="Arial" w:cs="Arial"/>
          <w:sz w:val="22"/>
          <w:lang w:val="en-US"/>
        </w:rPr>
        <w:t>,</w:t>
      </w:r>
      <w:r>
        <w:rPr>
          <w:rFonts w:ascii="Arial" w:hAnsi="Arial" w:cs="Arial"/>
          <w:sz w:val="22"/>
          <w:lang w:val="en-US"/>
        </w:rPr>
        <w:t xml:space="preserve"> Czech Republic</w:t>
      </w:r>
      <w:r w:rsidR="007F6015" w:rsidRPr="00395015">
        <w:rPr>
          <w:rFonts w:ascii="Arial" w:hAnsi="Arial" w:cs="Arial"/>
          <w:sz w:val="22"/>
          <w:lang w:val="en-US"/>
        </w:rPr>
        <w:t xml:space="preserve">, </w:t>
      </w:r>
      <w:r>
        <w:rPr>
          <w:rFonts w:ascii="Arial" w:hAnsi="Arial" w:cs="Arial"/>
          <w:sz w:val="22"/>
          <w:lang w:val="en-US"/>
        </w:rPr>
        <w:t>26</w:t>
      </w:r>
      <w:r w:rsidR="007F6015">
        <w:rPr>
          <w:rFonts w:ascii="Arial" w:hAnsi="Arial" w:cs="Arial"/>
          <w:sz w:val="22"/>
          <w:lang w:val="en-US"/>
        </w:rPr>
        <w:t xml:space="preserve"> – </w:t>
      </w:r>
      <w:r>
        <w:rPr>
          <w:rFonts w:ascii="Arial" w:hAnsi="Arial" w:cs="Arial"/>
          <w:sz w:val="22"/>
          <w:lang w:val="en-US"/>
        </w:rPr>
        <w:t>30</w:t>
      </w:r>
      <w:r w:rsidRPr="00372947">
        <w:rPr>
          <w:rFonts w:ascii="Arial" w:hAnsi="Arial" w:cs="Arial"/>
          <w:sz w:val="22"/>
          <w:vertAlign w:val="superscript"/>
          <w:lang w:val="en-US"/>
        </w:rPr>
        <w:t>th</w:t>
      </w:r>
      <w:r>
        <w:rPr>
          <w:rFonts w:ascii="Arial" w:hAnsi="Arial" w:cs="Arial"/>
          <w:sz w:val="22"/>
          <w:lang w:val="en-US"/>
        </w:rPr>
        <w:t xml:space="preserve"> August</w:t>
      </w:r>
      <w:r w:rsidR="007F6015">
        <w:rPr>
          <w:rFonts w:ascii="Arial" w:hAnsi="Arial" w:cs="Arial"/>
          <w:sz w:val="22"/>
          <w:lang w:val="en-US"/>
        </w:rPr>
        <w:t xml:space="preserve"> 2019                                    </w:t>
      </w:r>
      <w:r w:rsidR="007F6015">
        <w:rPr>
          <w:rFonts w:ascii="Arial" w:hAnsi="Arial" w:cs="Arial"/>
          <w:sz w:val="22"/>
          <w:lang w:val="en-US"/>
        </w:rPr>
        <w:tab/>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038FCD10" w14:textId="208BE6E5"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8902E2" w:rsidRPr="005A0D05">
        <w:rPr>
          <w:rFonts w:ascii="Arial" w:hAnsi="Arial" w:cs="Arial"/>
          <w:b w:val="0"/>
          <w:sz w:val="22"/>
          <w:lang w:val="en-US"/>
        </w:rPr>
        <w:t>12.3.3</w:t>
      </w:r>
      <w:r w:rsidR="002763D5">
        <w:rPr>
          <w:rFonts w:ascii="Arial" w:hAnsi="Arial" w:cs="Arial"/>
          <w:b w:val="0"/>
          <w:sz w:val="22"/>
          <w:lang w:val="en-US"/>
        </w:rPr>
        <w:t>.</w:t>
      </w:r>
      <w:r w:rsidR="00190E3B">
        <w:rPr>
          <w:rFonts w:ascii="Arial" w:hAnsi="Arial" w:cs="Arial"/>
          <w:b w:val="0"/>
          <w:sz w:val="22"/>
          <w:lang w:val="en-US"/>
        </w:rPr>
        <w:t>1</w:t>
      </w:r>
      <w:r w:rsidR="008902E2">
        <w:rPr>
          <w:lang w:val="en-US"/>
        </w:rPr>
        <w:t xml:space="preserve"> </w:t>
      </w:r>
      <w:r w:rsidR="00190E3B">
        <w:rPr>
          <w:rFonts w:ascii="Arial" w:hAnsi="Arial" w:cs="Arial"/>
          <w:b w:val="0"/>
          <w:sz w:val="22"/>
          <w:lang w:val="en-US"/>
        </w:rPr>
        <w:t>Execution Details of</w:t>
      </w:r>
      <w:bookmarkStart w:id="0" w:name="_GoBack"/>
      <w:bookmarkEnd w:id="0"/>
      <w:r w:rsidR="002763D5" w:rsidRPr="002763D5">
        <w:rPr>
          <w:rFonts w:ascii="Arial" w:hAnsi="Arial" w:cs="Arial"/>
          <w:b w:val="0"/>
          <w:sz w:val="22"/>
          <w:lang w:val="en-US"/>
        </w:rPr>
        <w:t xml:space="preserve"> CHO</w:t>
      </w:r>
      <w:r w:rsidR="009A5FB6" w:rsidRPr="009A5FB6">
        <w:rPr>
          <w:rFonts w:ascii="Arial" w:hAnsi="Arial" w:cs="Arial"/>
          <w:b w:val="0"/>
          <w:sz w:val="22"/>
          <w:lang w:val="en-US"/>
        </w:rPr>
        <w:t xml:space="preserve"> </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2FB4E693"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372947">
        <w:rPr>
          <w:rFonts w:ascii="Arial" w:hAnsi="Arial" w:cs="Arial"/>
          <w:b w:val="0"/>
          <w:sz w:val="22"/>
          <w:lang w:val="en-US"/>
        </w:rPr>
        <w:t>Reconfiguration while monitoring CHO</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072097AB" w14:textId="38D4FAD6" w:rsidR="005A0D05" w:rsidRDefault="009A78BB" w:rsidP="009A78BB">
      <w:bookmarkStart w:id="1" w:name="_Toc242573354"/>
      <w:r>
        <w:t xml:space="preserve">In the work item for </w:t>
      </w:r>
      <w:r w:rsidR="005A0D05">
        <w:t>Further Enhanced Mobility Enhancements</w:t>
      </w:r>
      <w:r>
        <w:t>, one objective is to improve the robustness at handover. In RAN2#105bis it has been agreed to support Conditional handover (CHO) in LTE.</w:t>
      </w:r>
    </w:p>
    <w:p w14:paraId="64B0F351" w14:textId="2B76A350" w:rsidR="00D03906" w:rsidRPr="00CE7F6F" w:rsidRDefault="00D03906" w:rsidP="000E24FD">
      <w:r>
        <w:t>In this contribution we discuss some further stage-2 principles for Conditional Handover (CHO) in E-UTRAN.</w:t>
      </w:r>
    </w:p>
    <w:p w14:paraId="487CD5E1" w14:textId="2B76A350" w:rsidR="005652F6" w:rsidRPr="00CE7F6F" w:rsidRDefault="009D725A" w:rsidP="000C4E17">
      <w:pPr>
        <w:pStyle w:val="Heading1"/>
        <w:rPr>
          <w:sz w:val="36"/>
        </w:rPr>
      </w:pPr>
      <w:r w:rsidRPr="00CE7F6F">
        <w:rPr>
          <w:sz w:val="36"/>
        </w:rPr>
        <w:t>Discussion</w:t>
      </w:r>
      <w:bookmarkEnd w:id="1"/>
    </w:p>
    <w:p w14:paraId="59B41F4B" w14:textId="77777777" w:rsidR="00372947" w:rsidRPr="00372947" w:rsidRDefault="00372947" w:rsidP="00372947">
      <w:pPr>
        <w:pStyle w:val="Heading2"/>
      </w:pPr>
      <w:r w:rsidRPr="00372947">
        <w:t>Measurement reporting while the UE is monitoring CHO conditions</w:t>
      </w:r>
    </w:p>
    <w:p w14:paraId="6E2164CC" w14:textId="6CB570E9" w:rsidR="00372947" w:rsidRDefault="00372947" w:rsidP="00372947">
      <w:pPr>
        <w:rPr>
          <w:lang w:val="en-GB" w:eastAsia="zh-CN"/>
        </w:rPr>
      </w:pPr>
      <w:r>
        <w:rPr>
          <w:lang w:val="en-GB" w:eastAsia="zh-CN"/>
        </w:rPr>
        <w:t>In LTE reconfiguration with sync, measurement configuration/reporting and handovers are independent procedures specified in RRC, even if measurement configuration/reporting may be used by the network to assist handover decisions. It seems obvious that the same principle is considered for CHO and measurement configuration/reporting.</w:t>
      </w:r>
    </w:p>
    <w:p w14:paraId="1224DD2C" w14:textId="77777777" w:rsidR="00372947" w:rsidRPr="00113C31" w:rsidRDefault="00372947" w:rsidP="00372947">
      <w:pPr>
        <w:pStyle w:val="Observation"/>
        <w:ind w:left="1701" w:hanging="1701"/>
      </w:pPr>
      <w:r>
        <w:t>Measurement reporting and CHO are independent RRC procedures.</w:t>
      </w:r>
    </w:p>
    <w:p w14:paraId="10F2A550" w14:textId="77777777" w:rsidR="00372947" w:rsidRDefault="00372947" w:rsidP="00372947">
      <w:pPr>
        <w:jc w:val="both"/>
        <w:rPr>
          <w:lang w:val="en-GB" w:eastAsia="zh-CN"/>
        </w:rPr>
      </w:pPr>
      <w:r>
        <w:rPr>
          <w:lang w:val="en-GB" w:eastAsia="zh-CN"/>
        </w:rPr>
        <w:t>In RAN2#105, the following has been agreed concerning CHO in LTE</w:t>
      </w:r>
    </w:p>
    <w:p w14:paraId="55BA82CD" w14:textId="3615FE71" w:rsidR="00372947" w:rsidRDefault="00372947" w:rsidP="00372947">
      <w:pPr>
        <w:pStyle w:val="Doc-text2"/>
        <w:pBdr>
          <w:top w:val="single" w:sz="4" w:space="1" w:color="auto"/>
          <w:left w:val="single" w:sz="4" w:space="4" w:color="auto"/>
          <w:bottom w:val="single" w:sz="4" w:space="1" w:color="auto"/>
          <w:right w:val="single" w:sz="4" w:space="4" w:color="auto"/>
        </w:pBdr>
      </w:pPr>
      <w:r>
        <w:t>……………………………………………………………………………………..</w:t>
      </w:r>
    </w:p>
    <w:p w14:paraId="2C03ABFE" w14:textId="6758D399" w:rsidR="00372947" w:rsidRDefault="00372947" w:rsidP="00372947">
      <w:pPr>
        <w:pStyle w:val="Doc-text2"/>
        <w:pBdr>
          <w:top w:val="single" w:sz="4" w:space="1" w:color="auto"/>
          <w:left w:val="single" w:sz="4" w:space="4" w:color="auto"/>
          <w:bottom w:val="single" w:sz="4" w:space="1" w:color="auto"/>
          <w:right w:val="single" w:sz="4" w:space="4" w:color="auto"/>
        </w:pBdr>
      </w:pPr>
      <w:r>
        <w:t xml:space="preserve">3: The baseline operation for E-UTRAN Conditional HO assumes the source </w:t>
      </w:r>
      <w:proofErr w:type="spellStart"/>
      <w:r>
        <w:t>eNB</w:t>
      </w:r>
      <w:proofErr w:type="spellEnd"/>
      <w:r>
        <w:t xml:space="preserve"> remains responsible for RRC until UE successfully sends RRC Connection Reconfiguration Complete message to target </w:t>
      </w:r>
      <w:proofErr w:type="spellStart"/>
      <w:r>
        <w:t>eNB</w:t>
      </w:r>
      <w:proofErr w:type="spellEnd"/>
      <w:r>
        <w:t xml:space="preserve">. </w:t>
      </w:r>
    </w:p>
    <w:p w14:paraId="1F2695E1" w14:textId="77777777" w:rsidR="006F6565" w:rsidRDefault="006F6565" w:rsidP="006F6565">
      <w:pPr>
        <w:rPr>
          <w:lang w:val="en-GB" w:eastAsia="zh-CN"/>
        </w:rPr>
      </w:pPr>
    </w:p>
    <w:p w14:paraId="7786CD0F" w14:textId="2C7FC686" w:rsidR="006F6565" w:rsidRDefault="006F6565" w:rsidP="006F6565">
      <w:pPr>
        <w:rPr>
          <w:lang w:val="en-GB" w:eastAsia="zh-CN"/>
        </w:rPr>
      </w:pPr>
      <w:r>
        <w:rPr>
          <w:lang w:val="en-GB" w:eastAsia="zh-CN"/>
        </w:rPr>
        <w:t xml:space="preserve">In RAN2#105bis, the following was agreed regarding conventional and conditional handover: </w:t>
      </w:r>
    </w:p>
    <w:p w14:paraId="0975AADE" w14:textId="77777777" w:rsidR="006F6565" w:rsidRPr="007644CE" w:rsidRDefault="006F6565" w:rsidP="006F6565">
      <w:pPr>
        <w:pStyle w:val="Doc-text2"/>
        <w:pBdr>
          <w:top w:val="single" w:sz="4" w:space="1" w:color="auto"/>
          <w:left w:val="single" w:sz="4" w:space="4" w:color="auto"/>
          <w:bottom w:val="single" w:sz="4" w:space="1" w:color="auto"/>
          <w:right w:val="single" w:sz="4" w:space="4" w:color="auto"/>
        </w:pBdr>
        <w:ind w:left="360" w:firstLine="0"/>
      </w:pPr>
      <w:r w:rsidRPr="007644CE">
        <w:t>Agreements</w:t>
      </w:r>
    </w:p>
    <w:p w14:paraId="0228C837" w14:textId="77777777" w:rsidR="006F6565" w:rsidRPr="007644CE" w:rsidRDefault="006F6565" w:rsidP="006F6565">
      <w:pPr>
        <w:pStyle w:val="Doc-text2"/>
        <w:pBdr>
          <w:top w:val="single" w:sz="4" w:space="1" w:color="auto"/>
          <w:left w:val="single" w:sz="4" w:space="4" w:color="auto"/>
          <w:bottom w:val="single" w:sz="4" w:space="1" w:color="auto"/>
          <w:right w:val="single" w:sz="4" w:space="4" w:color="auto"/>
        </w:pBdr>
        <w:ind w:left="360" w:firstLine="0"/>
      </w:pPr>
      <w:r>
        <w:t>. . .</w:t>
      </w:r>
    </w:p>
    <w:p w14:paraId="719596FB" w14:textId="77777777" w:rsidR="006F6565" w:rsidRPr="007644CE" w:rsidRDefault="006F6565" w:rsidP="006F6565">
      <w:pPr>
        <w:pStyle w:val="Doc-text2"/>
        <w:pBdr>
          <w:top w:val="single" w:sz="4" w:space="1" w:color="auto"/>
          <w:left w:val="single" w:sz="4" w:space="4" w:color="auto"/>
          <w:bottom w:val="single" w:sz="4" w:space="1" w:color="auto"/>
          <w:right w:val="single" w:sz="4" w:space="4" w:color="auto"/>
        </w:pBdr>
        <w:ind w:left="360" w:firstLine="0"/>
      </w:pPr>
      <w:proofErr w:type="gramStart"/>
      <w:r w:rsidRPr="007644CE">
        <w:t>2  Conventional</w:t>
      </w:r>
      <w:proofErr w:type="gramEnd"/>
      <w:r w:rsidRPr="007644CE">
        <w:t xml:space="preserve"> handover overrides any configured conditional handover command</w:t>
      </w:r>
    </w:p>
    <w:p w14:paraId="1D6DC027" w14:textId="798ED87E" w:rsidR="00A92D81" w:rsidRDefault="00A92D81" w:rsidP="00A92D81">
      <w:pPr>
        <w:rPr>
          <w:lang w:val="en-GB" w:eastAsia="zh-CN"/>
        </w:rPr>
      </w:pPr>
    </w:p>
    <w:p w14:paraId="26E9EBAE" w14:textId="2788EA5B" w:rsidR="00A92D81" w:rsidRDefault="005C05E6" w:rsidP="00A92D81">
      <w:pPr>
        <w:rPr>
          <w:lang w:val="en-GB" w:eastAsia="zh-CN"/>
        </w:rPr>
      </w:pPr>
      <w:r>
        <w:rPr>
          <w:lang w:val="en-GB" w:eastAsia="zh-CN"/>
        </w:rPr>
        <w:t>In email discussion [1</w:t>
      </w:r>
      <w:r w:rsidR="002338CF">
        <w:rPr>
          <w:lang w:val="en-GB" w:eastAsia="zh-CN"/>
        </w:rPr>
        <w:t xml:space="preserve">] different proposals regarding CHO reconfiguration (e.g. update of CHO execution condition, target and source cell configuration) was discussed and agreed. To enable the source </w:t>
      </w:r>
      <w:proofErr w:type="spellStart"/>
      <w:r w:rsidR="002338CF">
        <w:rPr>
          <w:lang w:val="en-GB" w:eastAsia="zh-CN"/>
        </w:rPr>
        <w:t>eNB</w:t>
      </w:r>
      <w:proofErr w:type="spellEnd"/>
      <w:r w:rsidR="002338CF">
        <w:rPr>
          <w:lang w:val="en-GB" w:eastAsia="zh-CN"/>
        </w:rPr>
        <w:t xml:space="preserve"> to perform such possible reconfigurations, measurement report is required from UE. C</w:t>
      </w:r>
      <w:r w:rsidR="00A92D81">
        <w:rPr>
          <w:lang w:val="en-GB" w:eastAsia="zh-CN"/>
        </w:rPr>
        <w:t>onsequently, it should be possible that while the UE monitors CHO triggering conditions, requiring the UE to perform measurements, the UE is also performing RRM measurements configured by the network and possibly triggering measurement reports</w:t>
      </w:r>
      <w:r w:rsidR="006F6565">
        <w:rPr>
          <w:lang w:val="en-GB" w:eastAsia="zh-CN"/>
        </w:rPr>
        <w:t>.</w:t>
      </w:r>
      <w:r w:rsidR="00A92D81">
        <w:rPr>
          <w:lang w:val="en-GB" w:eastAsia="zh-CN"/>
        </w:rPr>
        <w:t xml:space="preserve"> </w:t>
      </w:r>
    </w:p>
    <w:p w14:paraId="77034886" w14:textId="165F282C" w:rsidR="00A92D81" w:rsidRPr="000F46F9" w:rsidRDefault="00A92D81" w:rsidP="00A92D81">
      <w:pPr>
        <w:pStyle w:val="Proposal"/>
        <w:tabs>
          <w:tab w:val="clear" w:pos="1304"/>
        </w:tabs>
        <w:ind w:left="1701" w:hanging="1701"/>
      </w:pPr>
      <w:r>
        <w:lastRenderedPageBreak/>
        <w:t>UE</w:t>
      </w:r>
      <w:r w:rsidR="006F6565">
        <w:t xml:space="preserve"> </w:t>
      </w:r>
      <w:r>
        <w:t>send</w:t>
      </w:r>
      <w:r w:rsidR="006F6565">
        <w:t>s</w:t>
      </w:r>
      <w:r>
        <w:t xml:space="preserve"> measurement reports while monitoring CHO triggering conditions</w:t>
      </w:r>
      <w:r w:rsidRPr="00A81C20">
        <w:t>.</w:t>
      </w:r>
    </w:p>
    <w:p w14:paraId="372318D3" w14:textId="6D865E56" w:rsidR="009D725A" w:rsidRDefault="009D725A" w:rsidP="00C30004">
      <w:pPr>
        <w:pStyle w:val="Heading1"/>
      </w:pPr>
      <w:bookmarkStart w:id="2" w:name="_Toc242573360"/>
      <w:r w:rsidRPr="00C30004">
        <w:t>Summary</w:t>
      </w:r>
      <w:bookmarkEnd w:id="2"/>
    </w:p>
    <w:p w14:paraId="1D6DFF90" w14:textId="77777777" w:rsidR="002338CF" w:rsidRDefault="002338CF" w:rsidP="002338CF">
      <w:r>
        <w:t>RAN2 is kindly asked to discuss the following observations and proposals:</w:t>
      </w:r>
    </w:p>
    <w:p w14:paraId="79A6401D" w14:textId="06D0AF24" w:rsidR="002338CF" w:rsidRDefault="002338CF" w:rsidP="00B239A9">
      <w:pPr>
        <w:pStyle w:val="Observation"/>
        <w:numPr>
          <w:ilvl w:val="0"/>
          <w:numId w:val="6"/>
        </w:numPr>
      </w:pPr>
      <w:r>
        <w:t>Measurement reporting and CHO are independent RRC procedures.</w:t>
      </w:r>
    </w:p>
    <w:p w14:paraId="0EDBA976" w14:textId="4F67CC69" w:rsidR="002338CF" w:rsidRPr="00113C31" w:rsidRDefault="0099375B" w:rsidP="0099375B">
      <w:pPr>
        <w:pStyle w:val="Observation"/>
        <w:numPr>
          <w:ilvl w:val="0"/>
          <w:numId w:val="0"/>
        </w:numPr>
        <w:ind w:left="284"/>
      </w:pPr>
      <w:r>
        <w:t xml:space="preserve">Proposal 1 </w:t>
      </w:r>
      <w:r>
        <w:tab/>
      </w:r>
      <w:r w:rsidR="002338CF">
        <w:t>UE sends measurement reports while monitoring CHO triggering conditions</w:t>
      </w:r>
      <w:r w:rsidR="002338CF" w:rsidRPr="00A81C20">
        <w:t>.</w:t>
      </w:r>
    </w:p>
    <w:p w14:paraId="56DDFE34" w14:textId="500C0EF2" w:rsidR="002338CF" w:rsidRPr="002338CF" w:rsidRDefault="002338CF" w:rsidP="002338CF">
      <w:pPr>
        <w:rPr>
          <w:lang w:val="en-GB" w:eastAsia="zh-CN"/>
        </w:rPr>
      </w:pPr>
    </w:p>
    <w:p w14:paraId="36D2311E" w14:textId="7167A8B5" w:rsidR="009D725A" w:rsidRDefault="009D725A" w:rsidP="009D725A">
      <w:pPr>
        <w:pStyle w:val="Heading1"/>
        <w:rPr>
          <w:noProof/>
        </w:rPr>
      </w:pPr>
      <w:bookmarkStart w:id="3" w:name="_Toc242573361"/>
      <w:r>
        <w:rPr>
          <w:noProof/>
        </w:rPr>
        <w:t>References</w:t>
      </w:r>
      <w:bookmarkEnd w:id="3"/>
    </w:p>
    <w:p w14:paraId="30C02C4E" w14:textId="77777777" w:rsidR="005C05E6" w:rsidRPr="005C05E6" w:rsidRDefault="005C05E6" w:rsidP="005C05E6">
      <w:pPr>
        <w:rPr>
          <w:lang w:val="en-GB" w:eastAsia="zh-CN"/>
        </w:rPr>
      </w:pPr>
    </w:p>
    <w:p w14:paraId="38007529" w14:textId="10E32552" w:rsidR="00782E70" w:rsidRPr="00782E70" w:rsidRDefault="005C05E6" w:rsidP="00782E70">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R2-19xxxxx Summary of [106#42] [NR/LTE/mob enh] CHO configuration</w:t>
      </w:r>
      <w:r w:rsidR="002338CF">
        <w:rPr>
          <w:rFonts w:cs="Arial"/>
          <w:lang w:val="de-DE"/>
        </w:rPr>
        <w:t>, OPPO, RAN2#107, Prague, Czech, 26-30th August 2019.</w:t>
      </w:r>
    </w:p>
    <w:sectPr w:rsidR="00782E70" w:rsidRPr="00782E70" w:rsidSect="001069A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6F2D9" w14:textId="77777777" w:rsidR="00BF4B12" w:rsidRDefault="00BF4B12">
      <w:r>
        <w:separator/>
      </w:r>
    </w:p>
  </w:endnote>
  <w:endnote w:type="continuationSeparator" w:id="0">
    <w:p w14:paraId="620FD6F9" w14:textId="77777777" w:rsidR="00BF4B12" w:rsidRDefault="00BF4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6F8FC" w14:textId="77777777" w:rsidR="00BF4B12" w:rsidRDefault="00BF4B12">
      <w:r>
        <w:separator/>
      </w:r>
    </w:p>
  </w:footnote>
  <w:footnote w:type="continuationSeparator" w:id="0">
    <w:p w14:paraId="7866B022" w14:textId="77777777" w:rsidR="00BF4B12" w:rsidRDefault="00BF4B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101505E"/>
    <w:multiLevelType w:val="hybridMultilevel"/>
    <w:tmpl w:val="FC98DDDA"/>
    <w:lvl w:ilvl="0" w:tplc="AE2C80EA">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374" w:hanging="360"/>
      </w:pPr>
    </w:lvl>
    <w:lvl w:ilvl="2" w:tplc="0409001B" w:tentative="1">
      <w:start w:val="1"/>
      <w:numFmt w:val="lowerRoman"/>
      <w:lvlText w:val="%3."/>
      <w:lvlJc w:val="right"/>
      <w:pPr>
        <w:ind w:left="1094" w:hanging="180"/>
      </w:pPr>
    </w:lvl>
    <w:lvl w:ilvl="3" w:tplc="0409000F" w:tentative="1">
      <w:start w:val="1"/>
      <w:numFmt w:val="decimal"/>
      <w:lvlText w:val="%4."/>
      <w:lvlJc w:val="left"/>
      <w:pPr>
        <w:ind w:left="1814" w:hanging="360"/>
      </w:pPr>
    </w:lvl>
    <w:lvl w:ilvl="4" w:tplc="04090019" w:tentative="1">
      <w:start w:val="1"/>
      <w:numFmt w:val="lowerLetter"/>
      <w:lvlText w:val="%5."/>
      <w:lvlJc w:val="left"/>
      <w:pPr>
        <w:ind w:left="2534" w:hanging="360"/>
      </w:pPr>
    </w:lvl>
    <w:lvl w:ilvl="5" w:tplc="0409001B" w:tentative="1">
      <w:start w:val="1"/>
      <w:numFmt w:val="lowerRoman"/>
      <w:lvlText w:val="%6."/>
      <w:lvlJc w:val="right"/>
      <w:pPr>
        <w:ind w:left="3254" w:hanging="180"/>
      </w:pPr>
    </w:lvl>
    <w:lvl w:ilvl="6" w:tplc="0409000F" w:tentative="1">
      <w:start w:val="1"/>
      <w:numFmt w:val="decimal"/>
      <w:lvlText w:val="%7."/>
      <w:lvlJc w:val="left"/>
      <w:pPr>
        <w:ind w:left="3974" w:hanging="360"/>
      </w:pPr>
    </w:lvl>
    <w:lvl w:ilvl="7" w:tplc="04090019" w:tentative="1">
      <w:start w:val="1"/>
      <w:numFmt w:val="lowerLetter"/>
      <w:lvlText w:val="%8."/>
      <w:lvlJc w:val="left"/>
      <w:pPr>
        <w:ind w:left="4694" w:hanging="360"/>
      </w:pPr>
    </w:lvl>
    <w:lvl w:ilvl="8" w:tplc="0409001B" w:tentative="1">
      <w:start w:val="1"/>
      <w:numFmt w:val="lowerRoman"/>
      <w:lvlText w:val="%9."/>
      <w:lvlJc w:val="right"/>
      <w:pPr>
        <w:ind w:left="5414" w:hanging="180"/>
      </w:pPr>
    </w:lvl>
  </w:abstractNum>
  <w:num w:numId="1">
    <w:abstractNumId w:val="0"/>
  </w:num>
  <w:num w:numId="2">
    <w:abstractNumId w:val="3"/>
  </w:num>
  <w:num w:numId="3">
    <w:abstractNumId w:val="4"/>
  </w:num>
  <w:num w:numId="4">
    <w:abstractNumId w:val="1"/>
  </w:num>
  <w:num w:numId="5">
    <w:abstractNumId w:val="2"/>
  </w:num>
  <w:num w:numId="6">
    <w:abstractNumId w:val="4"/>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614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025E"/>
    <w:rsid w:val="00031612"/>
    <w:rsid w:val="00033D71"/>
    <w:rsid w:val="000343D3"/>
    <w:rsid w:val="0003547B"/>
    <w:rsid w:val="000362CF"/>
    <w:rsid w:val="00036973"/>
    <w:rsid w:val="000370B4"/>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EBE"/>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71C"/>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5F7"/>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3C31"/>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07B"/>
    <w:rsid w:val="001348B1"/>
    <w:rsid w:val="001349EB"/>
    <w:rsid w:val="00135810"/>
    <w:rsid w:val="00135836"/>
    <w:rsid w:val="00135EC3"/>
    <w:rsid w:val="00136C0C"/>
    <w:rsid w:val="00137432"/>
    <w:rsid w:val="001405E9"/>
    <w:rsid w:val="001408C0"/>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461"/>
    <w:rsid w:val="001558FF"/>
    <w:rsid w:val="00155AB9"/>
    <w:rsid w:val="0015614F"/>
    <w:rsid w:val="00160274"/>
    <w:rsid w:val="00160860"/>
    <w:rsid w:val="001609FF"/>
    <w:rsid w:val="00160B7F"/>
    <w:rsid w:val="001612C4"/>
    <w:rsid w:val="00162BE2"/>
    <w:rsid w:val="00163D65"/>
    <w:rsid w:val="0016426B"/>
    <w:rsid w:val="001645A9"/>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0E3B"/>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5B8"/>
    <w:rsid w:val="00225E2B"/>
    <w:rsid w:val="00226C28"/>
    <w:rsid w:val="00226C55"/>
    <w:rsid w:val="002273C1"/>
    <w:rsid w:val="00230284"/>
    <w:rsid w:val="00230F9F"/>
    <w:rsid w:val="00231705"/>
    <w:rsid w:val="00232ADD"/>
    <w:rsid w:val="002333B8"/>
    <w:rsid w:val="00233676"/>
    <w:rsid w:val="002338CF"/>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4DF9"/>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763D5"/>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4F33"/>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3FF8"/>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50B8"/>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47"/>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3B3E"/>
    <w:rsid w:val="00385713"/>
    <w:rsid w:val="003878C1"/>
    <w:rsid w:val="003918BC"/>
    <w:rsid w:val="00391AEA"/>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40B4"/>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1D1"/>
    <w:rsid w:val="003E725D"/>
    <w:rsid w:val="003E7397"/>
    <w:rsid w:val="003E73A2"/>
    <w:rsid w:val="003E78C0"/>
    <w:rsid w:val="003E79C6"/>
    <w:rsid w:val="003F1487"/>
    <w:rsid w:val="003F1522"/>
    <w:rsid w:val="003F191A"/>
    <w:rsid w:val="003F2284"/>
    <w:rsid w:val="003F30D6"/>
    <w:rsid w:val="003F51AC"/>
    <w:rsid w:val="003F5A32"/>
    <w:rsid w:val="003F697E"/>
    <w:rsid w:val="003F6D59"/>
    <w:rsid w:val="003F7391"/>
    <w:rsid w:val="003F754F"/>
    <w:rsid w:val="003F782A"/>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6EB"/>
    <w:rsid w:val="00441BCB"/>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011"/>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23B2"/>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9AA"/>
    <w:rsid w:val="00535C8D"/>
    <w:rsid w:val="00535F21"/>
    <w:rsid w:val="00536493"/>
    <w:rsid w:val="0053676B"/>
    <w:rsid w:val="00536AEA"/>
    <w:rsid w:val="00536D3C"/>
    <w:rsid w:val="00536F29"/>
    <w:rsid w:val="0053739F"/>
    <w:rsid w:val="00540E98"/>
    <w:rsid w:val="00541292"/>
    <w:rsid w:val="00541DFC"/>
    <w:rsid w:val="00542253"/>
    <w:rsid w:val="00542513"/>
    <w:rsid w:val="005433FA"/>
    <w:rsid w:val="00544566"/>
    <w:rsid w:val="00545B4A"/>
    <w:rsid w:val="00545B6C"/>
    <w:rsid w:val="00545F90"/>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36F9"/>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6CAE"/>
    <w:rsid w:val="005A0D05"/>
    <w:rsid w:val="005A10D4"/>
    <w:rsid w:val="005A2C9D"/>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FC6"/>
    <w:rsid w:val="005B7D46"/>
    <w:rsid w:val="005B7E9E"/>
    <w:rsid w:val="005C05E6"/>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574D"/>
    <w:rsid w:val="005E6CA0"/>
    <w:rsid w:val="005E6F22"/>
    <w:rsid w:val="005F185D"/>
    <w:rsid w:val="005F1F0B"/>
    <w:rsid w:val="005F26BE"/>
    <w:rsid w:val="005F2971"/>
    <w:rsid w:val="005F3716"/>
    <w:rsid w:val="005F3D2A"/>
    <w:rsid w:val="005F606C"/>
    <w:rsid w:val="005F6219"/>
    <w:rsid w:val="005F7274"/>
    <w:rsid w:val="005F7968"/>
    <w:rsid w:val="0060214E"/>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6C50"/>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EB6"/>
    <w:rsid w:val="00667664"/>
    <w:rsid w:val="006677BB"/>
    <w:rsid w:val="006707D3"/>
    <w:rsid w:val="00671B09"/>
    <w:rsid w:val="006731F3"/>
    <w:rsid w:val="006737C9"/>
    <w:rsid w:val="00673B0E"/>
    <w:rsid w:val="00673F23"/>
    <w:rsid w:val="00674AFC"/>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6565"/>
    <w:rsid w:val="006F7C08"/>
    <w:rsid w:val="00700F69"/>
    <w:rsid w:val="00701ACB"/>
    <w:rsid w:val="0070222B"/>
    <w:rsid w:val="00702CB6"/>
    <w:rsid w:val="00703FC0"/>
    <w:rsid w:val="0070422F"/>
    <w:rsid w:val="00704408"/>
    <w:rsid w:val="00704501"/>
    <w:rsid w:val="00705DB9"/>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2DF"/>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0C6"/>
    <w:rsid w:val="007B4CE9"/>
    <w:rsid w:val="007B4DAD"/>
    <w:rsid w:val="007B526D"/>
    <w:rsid w:val="007B5725"/>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54B8"/>
    <w:rsid w:val="007F5905"/>
    <w:rsid w:val="007F5F61"/>
    <w:rsid w:val="007F6015"/>
    <w:rsid w:val="007F6089"/>
    <w:rsid w:val="007F66A8"/>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3481"/>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FC0"/>
    <w:rsid w:val="00843B99"/>
    <w:rsid w:val="008440E1"/>
    <w:rsid w:val="00845C1D"/>
    <w:rsid w:val="00846800"/>
    <w:rsid w:val="008468B8"/>
    <w:rsid w:val="00846C77"/>
    <w:rsid w:val="00846E52"/>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B42"/>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977"/>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75B"/>
    <w:rsid w:val="00993A16"/>
    <w:rsid w:val="00993BF1"/>
    <w:rsid w:val="0099411C"/>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8BB"/>
    <w:rsid w:val="009A7D0F"/>
    <w:rsid w:val="009B1511"/>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1035"/>
    <w:rsid w:val="00A41163"/>
    <w:rsid w:val="00A415F5"/>
    <w:rsid w:val="00A42048"/>
    <w:rsid w:val="00A42B69"/>
    <w:rsid w:val="00A42C32"/>
    <w:rsid w:val="00A43D20"/>
    <w:rsid w:val="00A44966"/>
    <w:rsid w:val="00A452C0"/>
    <w:rsid w:val="00A46FE8"/>
    <w:rsid w:val="00A50249"/>
    <w:rsid w:val="00A51688"/>
    <w:rsid w:val="00A51B8D"/>
    <w:rsid w:val="00A51D34"/>
    <w:rsid w:val="00A51ED1"/>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6DE5"/>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2D81"/>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46C"/>
    <w:rsid w:val="00AB35DF"/>
    <w:rsid w:val="00AB5F1A"/>
    <w:rsid w:val="00AB6F51"/>
    <w:rsid w:val="00AB701F"/>
    <w:rsid w:val="00AB7D49"/>
    <w:rsid w:val="00AC0AA8"/>
    <w:rsid w:val="00AC3419"/>
    <w:rsid w:val="00AC436D"/>
    <w:rsid w:val="00AC599B"/>
    <w:rsid w:val="00AC6102"/>
    <w:rsid w:val="00AC62DE"/>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07516"/>
    <w:rsid w:val="00B111D8"/>
    <w:rsid w:val="00B1342F"/>
    <w:rsid w:val="00B13B51"/>
    <w:rsid w:val="00B15300"/>
    <w:rsid w:val="00B15B3B"/>
    <w:rsid w:val="00B15FE8"/>
    <w:rsid w:val="00B175B6"/>
    <w:rsid w:val="00B20B60"/>
    <w:rsid w:val="00B20B97"/>
    <w:rsid w:val="00B20B9A"/>
    <w:rsid w:val="00B219CE"/>
    <w:rsid w:val="00B2226C"/>
    <w:rsid w:val="00B22802"/>
    <w:rsid w:val="00B229C4"/>
    <w:rsid w:val="00B239A9"/>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3BEE"/>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0E0D"/>
    <w:rsid w:val="00BE115B"/>
    <w:rsid w:val="00BE2D62"/>
    <w:rsid w:val="00BE2EB1"/>
    <w:rsid w:val="00BE31C9"/>
    <w:rsid w:val="00BE4B38"/>
    <w:rsid w:val="00BE4D1B"/>
    <w:rsid w:val="00BE5430"/>
    <w:rsid w:val="00BE757F"/>
    <w:rsid w:val="00BF1530"/>
    <w:rsid w:val="00BF30F7"/>
    <w:rsid w:val="00BF3B77"/>
    <w:rsid w:val="00BF4B12"/>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2F90"/>
    <w:rsid w:val="00C138A0"/>
    <w:rsid w:val="00C145B6"/>
    <w:rsid w:val="00C14B7B"/>
    <w:rsid w:val="00C15CCD"/>
    <w:rsid w:val="00C17126"/>
    <w:rsid w:val="00C201B1"/>
    <w:rsid w:val="00C20C76"/>
    <w:rsid w:val="00C20CA4"/>
    <w:rsid w:val="00C20DA7"/>
    <w:rsid w:val="00C228BE"/>
    <w:rsid w:val="00C22AC7"/>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86DA0"/>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1A8"/>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5B4"/>
    <w:rsid w:val="00D70CE0"/>
    <w:rsid w:val="00D74765"/>
    <w:rsid w:val="00D74E12"/>
    <w:rsid w:val="00D768CC"/>
    <w:rsid w:val="00D7738B"/>
    <w:rsid w:val="00D777A7"/>
    <w:rsid w:val="00D777C8"/>
    <w:rsid w:val="00D77A29"/>
    <w:rsid w:val="00D818C6"/>
    <w:rsid w:val="00D82CB8"/>
    <w:rsid w:val="00D86199"/>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2E4A"/>
    <w:rsid w:val="00DA42FF"/>
    <w:rsid w:val="00DA4FF3"/>
    <w:rsid w:val="00DA5642"/>
    <w:rsid w:val="00DA5647"/>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79C"/>
    <w:rsid w:val="00E25F37"/>
    <w:rsid w:val="00E26B91"/>
    <w:rsid w:val="00E26EDD"/>
    <w:rsid w:val="00E27B12"/>
    <w:rsid w:val="00E31BF2"/>
    <w:rsid w:val="00E3250B"/>
    <w:rsid w:val="00E32D13"/>
    <w:rsid w:val="00E33179"/>
    <w:rsid w:val="00E331C0"/>
    <w:rsid w:val="00E33468"/>
    <w:rsid w:val="00E33473"/>
    <w:rsid w:val="00E34134"/>
    <w:rsid w:val="00E34263"/>
    <w:rsid w:val="00E34B9C"/>
    <w:rsid w:val="00E34FFC"/>
    <w:rsid w:val="00E35947"/>
    <w:rsid w:val="00E35B3C"/>
    <w:rsid w:val="00E36CB2"/>
    <w:rsid w:val="00E40F04"/>
    <w:rsid w:val="00E4114E"/>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A7D54"/>
    <w:rsid w:val="00EB055C"/>
    <w:rsid w:val="00EB0DA4"/>
    <w:rsid w:val="00EB14EC"/>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37693"/>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20E"/>
    <w:rsid w:val="00FD06BC"/>
    <w:rsid w:val="00FD0974"/>
    <w:rsid w:val="00FD0EA0"/>
    <w:rsid w:val="00FD1627"/>
    <w:rsid w:val="00FD21BC"/>
    <w:rsid w:val="00FD2453"/>
    <w:rsid w:val="00FD2B08"/>
    <w:rsid w:val="00FD304B"/>
    <w:rsid w:val="00FD5D55"/>
    <w:rsid w:val="00FD5F29"/>
    <w:rsid w:val="00FD6CF7"/>
    <w:rsid w:val="00FE013D"/>
    <w:rsid w:val="00FE1724"/>
    <w:rsid w:val="00FE209E"/>
    <w:rsid w:val="00FE2552"/>
    <w:rsid w:val="00FE397E"/>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v:stroke endarrow="block"/>
    </o:shapedefaults>
    <o:shapelayout v:ext="edit">
      <o:idmap v:ext="edit" data="1"/>
    </o:shapelayout>
  </w:shapeDefaults>
  <w:decimalSymbol w:val=","/>
  <w:listSeparator w:val=";"/>
  <w14:docId w14:val="54278C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7958">
      <w:bodyDiv w:val="1"/>
      <w:marLeft w:val="0"/>
      <w:marRight w:val="0"/>
      <w:marTop w:val="0"/>
      <w:marBottom w:val="0"/>
      <w:divBdr>
        <w:top w:val="none" w:sz="0" w:space="0" w:color="auto"/>
        <w:left w:val="none" w:sz="0" w:space="0" w:color="auto"/>
        <w:bottom w:val="none" w:sz="0" w:space="0" w:color="auto"/>
        <w:right w:val="none" w:sz="0" w:space="0" w:color="auto"/>
      </w:divBdr>
    </w:div>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5391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A2A34D-B9B8-492D-93ED-6B4FA6383256}"/>
</file>

<file path=customXml/itemProps2.xml><?xml version="1.0" encoding="utf-8"?>
<ds:datastoreItem xmlns:ds="http://schemas.openxmlformats.org/officeDocument/2006/customXml" ds:itemID="{EFECA7B8-CF07-4A32-81DB-E1F7ED1F7C8E}"/>
</file>

<file path=customXml/itemProps3.xml><?xml version="1.0" encoding="utf-8"?>
<ds:datastoreItem xmlns:ds="http://schemas.openxmlformats.org/officeDocument/2006/customXml" ds:itemID="{52C82936-DA33-4AE9-8B6E-E4AA8A8546C6}"/>
</file>

<file path=docProps/app.xml><?xml version="1.0" encoding="utf-8"?>
<Properties xmlns="http://schemas.openxmlformats.org/officeDocument/2006/extended-properties" xmlns:vt="http://schemas.openxmlformats.org/officeDocument/2006/docPropsVTypes">
  <Template>Normal</Template>
  <TotalTime>0</TotalTime>
  <Pages>2</Pages>
  <Words>398</Words>
  <Characters>2112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2019-08-14T15:18:00Z</dcterms:created>
  <dcterms:modified xsi:type="dcterms:W3CDTF">2019-08-14T15:18:00Z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512">
    <vt:lpwstr>320</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773863ec-8f47-4ad9-9789-2e74765764f8</vt:lpwstr>
  </property>
  <property fmtid="{D5CDD505-2E9C-101B-9397-08002B2CF9AE}" pid="13" name="_NewReviewCycle">
    <vt:lpwstr/>
  </property>
  <property fmtid="{D5CDD505-2E9C-101B-9397-08002B2CF9AE}" pid="14" name="EriCOLLProjects">
    <vt:lpwstr/>
  </property>
  <property fmtid="{D5CDD505-2E9C-101B-9397-08002B2CF9AE}" pid="15" name="_DocHome">
    <vt:i4>1433778749</vt:i4>
  </property>
</Properties>
</file>